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2A2FB4" w14:textId="77777777" w:rsidR="002C611E" w:rsidRPr="002C611E" w:rsidRDefault="002C611E" w:rsidP="002C611E">
      <w:pPr>
        <w:pStyle w:val="a3"/>
        <w:rPr>
          <w:rFonts w:ascii="Times New Roman" w:hAnsi="Times New Roman"/>
          <w:color w:val="000000" w:themeColor="text1"/>
          <w:lang w:val="ru-RU"/>
        </w:rPr>
      </w:pPr>
      <w:r w:rsidRPr="00855490">
        <w:rPr>
          <w:rFonts w:ascii="Times New Roman" w:hAnsi="Times New Roman" w:cs="Times New Roman"/>
        </w:rPr>
        <w:t xml:space="preserve">Додаток </w:t>
      </w:r>
      <w:r>
        <w:rPr>
          <w:rFonts w:ascii="Times New Roman" w:hAnsi="Times New Roman" w:cs="Times New Roman"/>
          <w:lang w:val="ru-RU"/>
        </w:rPr>
        <w:t>3</w:t>
      </w:r>
      <w:r w:rsidRPr="00855490">
        <w:rPr>
          <w:rFonts w:ascii="Times New Roman" w:hAnsi="Times New Roman" w:cs="Times New Roman"/>
        </w:rPr>
        <w:br/>
        <w:t xml:space="preserve">до Технічного регламенту енергетичного маркування </w:t>
      </w:r>
      <w:r w:rsidRPr="002C611E">
        <w:rPr>
          <w:rFonts w:ascii="Times New Roman" w:hAnsi="Times New Roman"/>
          <w:color w:val="000000" w:themeColor="text1"/>
        </w:rPr>
        <w:t>пилососів</w:t>
      </w:r>
    </w:p>
    <w:p w14:paraId="6E74FBBB" w14:textId="77777777" w:rsidR="002C611E" w:rsidRPr="00705E6C" w:rsidRDefault="002C611E" w:rsidP="002C611E">
      <w:pPr>
        <w:pStyle w:val="a3"/>
        <w:spacing w:after="0"/>
        <w:ind w:left="0"/>
        <w:contextualSpacing/>
        <w:rPr>
          <w:rFonts w:ascii="Times New Roman" w:hAnsi="Times New Roman" w:cs="Times New Roman"/>
          <w:b/>
          <w:bCs/>
        </w:rPr>
      </w:pPr>
      <w:r w:rsidRPr="00705E6C">
        <w:rPr>
          <w:rFonts w:ascii="Times New Roman" w:hAnsi="Times New Roman" w:cs="Times New Roman"/>
          <w:b/>
          <w:bCs/>
        </w:rPr>
        <w:t>ВИМОГИ</w:t>
      </w:r>
    </w:p>
    <w:p w14:paraId="18EA3224" w14:textId="77777777" w:rsidR="002C611E" w:rsidRPr="00705E6C" w:rsidRDefault="002C611E" w:rsidP="002C611E">
      <w:pPr>
        <w:pStyle w:val="a5"/>
        <w:spacing w:before="0" w:after="0"/>
        <w:contextualSpacing/>
        <w:rPr>
          <w:rFonts w:ascii="Times New Roman" w:hAnsi="Times New Roman" w:cs="Times New Roman"/>
          <w:bCs w:val="0"/>
        </w:rPr>
      </w:pPr>
      <w:r w:rsidRPr="00705E6C">
        <w:rPr>
          <w:rFonts w:ascii="Times New Roman" w:hAnsi="Times New Roman" w:cs="Times New Roman"/>
          <w:bCs w:val="0"/>
        </w:rPr>
        <w:t>до мікрофіші</w:t>
      </w:r>
    </w:p>
    <w:p w14:paraId="6B9256A2" w14:textId="77777777" w:rsidR="002C611E" w:rsidRPr="00256266" w:rsidRDefault="002C611E" w:rsidP="002C611E">
      <w:pPr>
        <w:pStyle w:val="a6"/>
        <w:rPr>
          <w:rFonts w:ascii="Times New Roman" w:hAnsi="Times New Roman"/>
          <w:szCs w:val="26"/>
        </w:rPr>
      </w:pPr>
      <w:r w:rsidRPr="00256266">
        <w:rPr>
          <w:rFonts w:ascii="Times New Roman" w:hAnsi="Times New Roman"/>
          <w:szCs w:val="26"/>
        </w:rPr>
        <w:t xml:space="preserve">1. У мікрофіші зазначається така інформація, що може бути </w:t>
      </w:r>
      <w:r w:rsidR="00C1477B">
        <w:rPr>
          <w:rFonts w:ascii="Times New Roman" w:hAnsi="Times New Roman"/>
          <w:szCs w:val="26"/>
        </w:rPr>
        <w:t>включена</w:t>
      </w:r>
      <w:r w:rsidRPr="00256266">
        <w:rPr>
          <w:rFonts w:ascii="Times New Roman" w:hAnsi="Times New Roman"/>
          <w:szCs w:val="26"/>
        </w:rPr>
        <w:t xml:space="preserve"> до інструкції постачальника або супровідної документації, які надаються разом з </w:t>
      </w:r>
      <w:r>
        <w:rPr>
          <w:rFonts w:ascii="Times New Roman" w:hAnsi="Times New Roman"/>
          <w:szCs w:val="26"/>
        </w:rPr>
        <w:t>пилососом</w:t>
      </w:r>
      <w:r w:rsidRPr="00256266">
        <w:rPr>
          <w:rFonts w:ascii="Times New Roman" w:hAnsi="Times New Roman"/>
          <w:szCs w:val="26"/>
        </w:rPr>
        <w:t>:</w:t>
      </w:r>
    </w:p>
    <w:p w14:paraId="68127099" w14:textId="77777777" w:rsidR="002C611E" w:rsidRPr="00256266" w:rsidRDefault="002C611E" w:rsidP="002C611E">
      <w:pPr>
        <w:pStyle w:val="a6"/>
        <w:rPr>
          <w:rFonts w:ascii="Times New Roman" w:hAnsi="Times New Roman"/>
          <w:szCs w:val="26"/>
        </w:rPr>
      </w:pPr>
      <w:r w:rsidRPr="00256266">
        <w:rPr>
          <w:rFonts w:ascii="Times New Roman" w:hAnsi="Times New Roman"/>
          <w:szCs w:val="26"/>
        </w:rPr>
        <w:t>1) найменування або торговельна марка постачальника;</w:t>
      </w:r>
    </w:p>
    <w:p w14:paraId="26767F37" w14:textId="77777777" w:rsidR="002C611E" w:rsidRDefault="002C611E" w:rsidP="002C611E">
      <w:pPr>
        <w:pStyle w:val="a6"/>
        <w:rPr>
          <w:rFonts w:ascii="Times New Roman" w:hAnsi="Times New Roman"/>
          <w:szCs w:val="26"/>
        </w:rPr>
      </w:pPr>
      <w:r w:rsidRPr="00256266">
        <w:rPr>
          <w:rFonts w:ascii="Times New Roman" w:hAnsi="Times New Roman"/>
          <w:szCs w:val="26"/>
        </w:rPr>
        <w:t xml:space="preserve">2) модель </w:t>
      </w:r>
      <w:r>
        <w:rPr>
          <w:rFonts w:ascii="Times New Roman" w:hAnsi="Times New Roman"/>
          <w:szCs w:val="26"/>
        </w:rPr>
        <w:t>пилососа</w:t>
      </w:r>
      <w:r w:rsidRPr="00256266">
        <w:rPr>
          <w:rFonts w:ascii="Times New Roman" w:hAnsi="Times New Roman"/>
          <w:szCs w:val="26"/>
        </w:rPr>
        <w:t>;</w:t>
      </w:r>
    </w:p>
    <w:p w14:paraId="2AFB2E75" w14:textId="77777777" w:rsidR="002C611E" w:rsidRDefault="002C611E" w:rsidP="002C611E">
      <w:pPr>
        <w:pStyle w:val="a6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3) </w:t>
      </w:r>
      <w:r w:rsidRPr="00256266">
        <w:rPr>
          <w:rFonts w:ascii="Times New Roman" w:hAnsi="Times New Roman"/>
          <w:szCs w:val="26"/>
        </w:rPr>
        <w:t>клас енергоефективності</w:t>
      </w:r>
      <w:r>
        <w:rPr>
          <w:rFonts w:ascii="Times New Roman" w:hAnsi="Times New Roman"/>
          <w:szCs w:val="26"/>
        </w:rPr>
        <w:t>, визначений відповідно до додатка 1 до цього Технічного регламенту;</w:t>
      </w:r>
    </w:p>
    <w:p w14:paraId="0132114E" w14:textId="77777777" w:rsidR="00854C67" w:rsidRDefault="00854C67" w:rsidP="002C611E">
      <w:pPr>
        <w:pStyle w:val="a6"/>
        <w:rPr>
          <w:rFonts w:ascii="Times New Roman" w:hAnsi="Times New Roman"/>
        </w:rPr>
      </w:pPr>
      <w:r>
        <w:rPr>
          <w:rFonts w:ascii="Times New Roman" w:hAnsi="Times New Roman"/>
          <w:szCs w:val="26"/>
        </w:rPr>
        <w:t>4) </w:t>
      </w:r>
      <w:r w:rsidRPr="00855490">
        <w:rPr>
          <w:rFonts w:ascii="Times New Roman" w:hAnsi="Times New Roman"/>
        </w:rPr>
        <w:t xml:space="preserve">річний обсяг енергоспоживання </w:t>
      </w:r>
      <w:r>
        <w:rPr>
          <w:rFonts w:ascii="Times New Roman" w:hAnsi="Times New Roman"/>
        </w:rPr>
        <w:t xml:space="preserve">пилососом, </w:t>
      </w:r>
      <w:r>
        <w:rPr>
          <w:rFonts w:ascii="Times New Roman" w:hAnsi="Times New Roman"/>
          <w:color w:val="000000"/>
          <w:szCs w:val="26"/>
        </w:rPr>
        <w:t>округлений до першого знака після коми</w:t>
      </w:r>
      <w:r>
        <w:rPr>
          <w:rFonts w:ascii="Times New Roman" w:hAnsi="Times New Roman"/>
        </w:rPr>
        <w:t xml:space="preserve"> та визначений відповідно до додатка  6 до цього </w:t>
      </w:r>
      <w:r w:rsidR="00C1477B">
        <w:rPr>
          <w:rFonts w:ascii="Times New Roman" w:hAnsi="Times New Roman"/>
        </w:rPr>
        <w:t>Т</w:t>
      </w:r>
      <w:r>
        <w:rPr>
          <w:rFonts w:ascii="Times New Roman" w:hAnsi="Times New Roman"/>
        </w:rPr>
        <w:t xml:space="preserve">ехнічного регламенту </w:t>
      </w:r>
      <w:r w:rsidRPr="00855490">
        <w:rPr>
          <w:rFonts w:ascii="Times New Roman" w:hAnsi="Times New Roman"/>
        </w:rPr>
        <w:t>(у форматі —</w:t>
      </w:r>
      <w:r>
        <w:rPr>
          <w:rFonts w:ascii="Times New Roman" w:hAnsi="Times New Roman"/>
        </w:rPr>
        <w:t xml:space="preserve"> </w:t>
      </w:r>
      <w:r w:rsidRPr="00855490">
        <w:rPr>
          <w:rFonts w:ascii="Times New Roman" w:hAnsi="Times New Roman"/>
        </w:rPr>
        <w:t>“</w:t>
      </w:r>
      <w:r w:rsidR="0054625F">
        <w:rPr>
          <w:rFonts w:ascii="Times New Roman" w:hAnsi="Times New Roman"/>
        </w:rPr>
        <w:t>Індикативний</w:t>
      </w:r>
      <w:r w:rsidRPr="0085549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річний обсяг енергоспоживання </w:t>
      </w:r>
      <w:r w:rsidR="00980B93">
        <w:rPr>
          <w:rFonts w:ascii="Times New Roman" w:hAnsi="Times New Roman"/>
        </w:rPr>
        <w:t>(</w:t>
      </w:r>
      <w:r w:rsidRPr="00855490">
        <w:rPr>
          <w:rFonts w:ascii="Times New Roman" w:hAnsi="Times New Roman"/>
        </w:rPr>
        <w:t>кВт•г на рік</w:t>
      </w:r>
      <w:r w:rsidR="00980B93">
        <w:rPr>
          <w:rFonts w:ascii="Times New Roman" w:hAnsi="Times New Roman"/>
        </w:rPr>
        <w:t>)</w:t>
      </w:r>
      <w:r w:rsidRPr="00855490">
        <w:rPr>
          <w:rFonts w:ascii="Times New Roman" w:hAnsi="Times New Roman"/>
        </w:rPr>
        <w:t xml:space="preserve"> </w:t>
      </w:r>
      <w:r w:rsidR="00980B93">
        <w:rPr>
          <w:rFonts w:ascii="Times New Roman" w:hAnsi="Times New Roman"/>
        </w:rPr>
        <w:t>і</w:t>
      </w:r>
      <w:r w:rsidRPr="00855490">
        <w:rPr>
          <w:rFonts w:ascii="Times New Roman" w:hAnsi="Times New Roman"/>
        </w:rPr>
        <w:t xml:space="preserve">з </w:t>
      </w:r>
      <w:r w:rsidR="00980B93">
        <w:rPr>
          <w:rFonts w:ascii="Times New Roman" w:hAnsi="Times New Roman"/>
        </w:rPr>
        <w:t>розрахунку</w:t>
      </w:r>
      <w:r w:rsidR="00980B93" w:rsidRPr="00855490">
        <w:rPr>
          <w:rFonts w:ascii="Times New Roman" w:hAnsi="Times New Roman"/>
        </w:rPr>
        <w:t xml:space="preserve"> </w:t>
      </w:r>
      <w:r w:rsidR="00980B93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50</w:t>
      </w:r>
      <w:r w:rsidRPr="00855490">
        <w:rPr>
          <w:rFonts w:ascii="Times New Roman" w:hAnsi="Times New Roman"/>
        </w:rPr>
        <w:t xml:space="preserve"> </w:t>
      </w:r>
      <w:r w:rsidR="00980B93">
        <w:rPr>
          <w:rFonts w:ascii="Times New Roman" w:hAnsi="Times New Roman"/>
        </w:rPr>
        <w:t>прибирань. Ф</w:t>
      </w:r>
      <w:r w:rsidRPr="00855490">
        <w:rPr>
          <w:rFonts w:ascii="Times New Roman" w:hAnsi="Times New Roman"/>
        </w:rPr>
        <w:t xml:space="preserve">актичне споживання енергії залежить від використання </w:t>
      </w:r>
      <w:r>
        <w:rPr>
          <w:rFonts w:ascii="Times New Roman" w:hAnsi="Times New Roman"/>
        </w:rPr>
        <w:t>пилососа</w:t>
      </w:r>
      <w:r w:rsidR="00980B93">
        <w:rPr>
          <w:rFonts w:ascii="Times New Roman" w:hAnsi="Times New Roman"/>
        </w:rPr>
        <w:t>.</w:t>
      </w:r>
      <w:r>
        <w:rPr>
          <w:rFonts w:ascii="Times New Roman" w:hAnsi="Times New Roman"/>
        </w:rPr>
        <w:t>)</w:t>
      </w:r>
      <w:r w:rsidRPr="00855490">
        <w:rPr>
          <w:rFonts w:ascii="Times New Roman" w:hAnsi="Times New Roman"/>
        </w:rPr>
        <w:t>”</w:t>
      </w:r>
      <w:r>
        <w:rPr>
          <w:rFonts w:ascii="Times New Roman" w:hAnsi="Times New Roman"/>
        </w:rPr>
        <w:t>;</w:t>
      </w:r>
    </w:p>
    <w:p w14:paraId="78CE85CB" w14:textId="77777777" w:rsidR="00854C67" w:rsidRPr="004C4EEF" w:rsidRDefault="00854C67" w:rsidP="002C611E">
      <w:pPr>
        <w:pStyle w:val="a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5) для </w:t>
      </w:r>
      <w:r w:rsidR="00703561">
        <w:rPr>
          <w:rFonts w:ascii="Times New Roman" w:hAnsi="Times New Roman"/>
        </w:rPr>
        <w:t xml:space="preserve">пилососів загального призначення та для </w:t>
      </w:r>
      <w:r w:rsidR="00980B93">
        <w:rPr>
          <w:rFonts w:ascii="Times New Roman" w:hAnsi="Times New Roman"/>
        </w:rPr>
        <w:t xml:space="preserve"> килимових покриттів -</w:t>
      </w:r>
      <w:r w:rsidR="00703561">
        <w:rPr>
          <w:rFonts w:ascii="Times New Roman" w:hAnsi="Times New Roman"/>
        </w:rPr>
        <w:t xml:space="preserve"> клас ефективності очищення, визначений відповідно до додатка 1 до цього Технічного регламенту. </w:t>
      </w:r>
      <w:r w:rsidR="00980B93">
        <w:rPr>
          <w:rFonts w:ascii="Times New Roman" w:hAnsi="Times New Roman"/>
        </w:rPr>
        <w:t xml:space="preserve">Для </w:t>
      </w:r>
      <w:r w:rsidR="00703561">
        <w:rPr>
          <w:rFonts w:ascii="Times New Roman" w:hAnsi="Times New Roman"/>
        </w:rPr>
        <w:t>пилососів для твердих підлог  - зазначення «</w:t>
      </w:r>
      <w:r w:rsidR="00980B93" w:rsidRPr="004C4EEF">
        <w:rPr>
          <w:rFonts w:ascii="Times New Roman" w:eastAsia="Arial Unicode MS" w:hAnsi="Times New Roman"/>
          <w:color w:val="1A171C"/>
        </w:rPr>
        <w:t xml:space="preserve">непридатний для </w:t>
      </w:r>
      <w:r w:rsidR="00980B93">
        <w:rPr>
          <w:rFonts w:ascii="Times New Roman" w:eastAsia="Arial Unicode MS" w:hAnsi="Times New Roman"/>
          <w:color w:val="1A171C"/>
        </w:rPr>
        <w:t>о</w:t>
      </w:r>
      <w:r w:rsidR="00980B93" w:rsidRPr="004C4EEF">
        <w:rPr>
          <w:rFonts w:ascii="Times New Roman" w:eastAsia="Arial Unicode MS" w:hAnsi="Times New Roman"/>
          <w:color w:val="1A171C"/>
        </w:rPr>
        <w:t xml:space="preserve">чищення </w:t>
      </w:r>
      <w:r w:rsidR="006C136B">
        <w:rPr>
          <w:rFonts w:ascii="Times New Roman" w:eastAsia="Arial Unicode MS" w:hAnsi="Times New Roman"/>
          <w:color w:val="1A171C"/>
        </w:rPr>
        <w:t>килимових покриттів</w:t>
      </w:r>
      <w:r w:rsidR="00980B93" w:rsidRPr="004C4EEF">
        <w:rPr>
          <w:rFonts w:ascii="Times New Roman" w:eastAsia="Arial Unicode MS" w:hAnsi="Times New Roman"/>
          <w:color w:val="1A171C"/>
        </w:rPr>
        <w:t xml:space="preserve"> </w:t>
      </w:r>
      <w:r w:rsidR="00980B93">
        <w:rPr>
          <w:rFonts w:ascii="Times New Roman" w:eastAsia="Arial Unicode MS" w:hAnsi="Times New Roman"/>
          <w:color w:val="1A171C"/>
        </w:rPr>
        <w:t>з</w:t>
      </w:r>
      <w:r w:rsidR="00980B93" w:rsidRPr="004C4EEF">
        <w:rPr>
          <w:rFonts w:ascii="Times New Roman" w:eastAsia="Arial Unicode MS" w:hAnsi="Times New Roman"/>
          <w:color w:val="1A171C"/>
        </w:rPr>
        <w:t xml:space="preserve"> </w:t>
      </w:r>
      <w:r w:rsidR="004C4EEF" w:rsidRPr="004C4EEF">
        <w:rPr>
          <w:rFonts w:ascii="Times New Roman" w:eastAsia="Arial Unicode MS" w:hAnsi="Times New Roman"/>
          <w:color w:val="1A171C"/>
        </w:rPr>
        <w:t>насадкою, що постачається</w:t>
      </w:r>
      <w:r w:rsidR="006C136B">
        <w:rPr>
          <w:rFonts w:ascii="Times New Roman" w:eastAsia="Arial Unicode MS" w:hAnsi="Times New Roman"/>
          <w:color w:val="1A171C"/>
        </w:rPr>
        <w:t>.</w:t>
      </w:r>
      <w:r w:rsidR="00703561" w:rsidRPr="004C4EEF">
        <w:rPr>
          <w:rFonts w:ascii="Times New Roman" w:hAnsi="Times New Roman"/>
        </w:rPr>
        <w:t>»</w:t>
      </w:r>
      <w:r w:rsidR="008030A1" w:rsidRPr="004C4EEF">
        <w:rPr>
          <w:rFonts w:ascii="Times New Roman" w:hAnsi="Times New Roman"/>
        </w:rPr>
        <w:t>;</w:t>
      </w:r>
    </w:p>
    <w:p w14:paraId="25EFC040" w14:textId="77777777" w:rsidR="008030A1" w:rsidRDefault="008030A1" w:rsidP="002C611E">
      <w:pPr>
        <w:pStyle w:val="a6"/>
        <w:rPr>
          <w:rFonts w:ascii="Times New Roman" w:hAnsi="Times New Roman"/>
        </w:rPr>
      </w:pPr>
      <w:r>
        <w:rPr>
          <w:rFonts w:ascii="Times New Roman" w:hAnsi="Times New Roman"/>
        </w:rPr>
        <w:t>6)</w:t>
      </w:r>
      <w:r w:rsidRPr="008030A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для пилососів загального призначення та для твердих підлог, клас ефективності очищення, визначений відповідно до додатка 1 до цього Технічного регламенту. </w:t>
      </w:r>
      <w:r w:rsidR="00980B93">
        <w:rPr>
          <w:rFonts w:ascii="Times New Roman" w:hAnsi="Times New Roman"/>
        </w:rPr>
        <w:t xml:space="preserve">Для </w:t>
      </w:r>
      <w:r>
        <w:rPr>
          <w:rFonts w:ascii="Times New Roman" w:hAnsi="Times New Roman"/>
        </w:rPr>
        <w:t xml:space="preserve">пилососів для </w:t>
      </w:r>
      <w:r w:rsidR="00980B93">
        <w:rPr>
          <w:rFonts w:ascii="Times New Roman" w:hAnsi="Times New Roman"/>
        </w:rPr>
        <w:t>килимових покриттів</w:t>
      </w:r>
      <w:r>
        <w:rPr>
          <w:rFonts w:ascii="Times New Roman" w:hAnsi="Times New Roman"/>
        </w:rPr>
        <w:t xml:space="preserve">  - зазначення «</w:t>
      </w:r>
      <w:r w:rsidR="00980B93" w:rsidRPr="004C4EEF">
        <w:rPr>
          <w:rFonts w:ascii="Times New Roman" w:eastAsia="Arial Unicode MS" w:hAnsi="Times New Roman"/>
          <w:color w:val="1A171C"/>
        </w:rPr>
        <w:t xml:space="preserve">непридатний для </w:t>
      </w:r>
      <w:r w:rsidR="00980B93">
        <w:rPr>
          <w:rFonts w:ascii="Times New Roman" w:eastAsia="Arial Unicode MS" w:hAnsi="Times New Roman"/>
          <w:color w:val="1A171C"/>
        </w:rPr>
        <w:t>о</w:t>
      </w:r>
      <w:r w:rsidR="00980B93" w:rsidRPr="004C4EEF">
        <w:rPr>
          <w:rFonts w:ascii="Times New Roman" w:eastAsia="Arial Unicode MS" w:hAnsi="Times New Roman"/>
          <w:color w:val="1A171C"/>
        </w:rPr>
        <w:t xml:space="preserve">чищення </w:t>
      </w:r>
      <w:r w:rsidR="00980B93">
        <w:rPr>
          <w:rFonts w:ascii="Times New Roman" w:hAnsi="Times New Roman"/>
        </w:rPr>
        <w:t>твердих підлог</w:t>
      </w:r>
      <w:r w:rsidR="00980B93" w:rsidRPr="004C4EEF">
        <w:rPr>
          <w:rFonts w:ascii="Times New Roman" w:eastAsia="Arial Unicode MS" w:hAnsi="Times New Roman"/>
          <w:color w:val="1A171C"/>
        </w:rPr>
        <w:t xml:space="preserve"> </w:t>
      </w:r>
      <w:r w:rsidR="00980B93">
        <w:rPr>
          <w:rFonts w:ascii="Times New Roman" w:eastAsia="Arial Unicode MS" w:hAnsi="Times New Roman"/>
          <w:color w:val="1A171C"/>
        </w:rPr>
        <w:t xml:space="preserve">з </w:t>
      </w:r>
      <w:r w:rsidR="004C4EEF" w:rsidRPr="004C4EEF">
        <w:rPr>
          <w:rFonts w:ascii="Times New Roman" w:eastAsia="Arial Unicode MS" w:hAnsi="Times New Roman"/>
          <w:color w:val="1A171C"/>
        </w:rPr>
        <w:t>насадкою, що постачається</w:t>
      </w:r>
      <w:r>
        <w:rPr>
          <w:rFonts w:ascii="Times New Roman" w:hAnsi="Times New Roman"/>
        </w:rPr>
        <w:t>»;</w:t>
      </w:r>
    </w:p>
    <w:p w14:paraId="79AF0DDF" w14:textId="77777777" w:rsidR="008030A1" w:rsidRDefault="008030A1" w:rsidP="002C611E">
      <w:pPr>
        <w:pStyle w:val="a6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Pr="000C461C">
        <w:rPr>
          <w:rFonts w:ascii="Times New Roman" w:hAnsi="Times New Roman"/>
        </w:rPr>
        <w:t xml:space="preserve">) </w:t>
      </w:r>
      <w:commentRangeStart w:id="0"/>
      <w:r w:rsidR="004C4EEF" w:rsidRPr="000C461C">
        <w:rPr>
          <w:rFonts w:ascii="Times New Roman" w:hAnsi="Times New Roman"/>
        </w:rPr>
        <w:t>клас повторного викиду пилу</w:t>
      </w:r>
      <w:commentRangeEnd w:id="0"/>
      <w:r w:rsidR="00125AE0" w:rsidRPr="000C461C">
        <w:rPr>
          <w:rStyle w:val="a7"/>
          <w:rFonts w:asciiTheme="minorHAnsi" w:eastAsiaTheme="minorEastAsia" w:hAnsiTheme="minorHAnsi" w:cstheme="minorBidi"/>
          <w:lang w:val="ru-RU" w:eastAsia="ru-RU"/>
        </w:rPr>
        <w:commentReference w:id="0"/>
      </w:r>
      <w:r w:rsidRPr="000C461C">
        <w:rPr>
          <w:rFonts w:ascii="Times New Roman" w:hAnsi="Times New Roman"/>
        </w:rPr>
        <w:t>,</w:t>
      </w:r>
      <w:bookmarkStart w:id="1" w:name="_GoBack"/>
      <w:bookmarkEnd w:id="1"/>
      <w:r>
        <w:rPr>
          <w:rFonts w:ascii="Times New Roman" w:hAnsi="Times New Roman"/>
        </w:rPr>
        <w:t xml:space="preserve"> визначений відповідно до додатка 1</w:t>
      </w:r>
      <w:r w:rsidRPr="008030A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до цього Технічного регламенту;</w:t>
      </w:r>
    </w:p>
    <w:p w14:paraId="4BB40DCF" w14:textId="77777777" w:rsidR="008030A1" w:rsidRDefault="008030A1" w:rsidP="008030A1">
      <w:pPr>
        <w:pStyle w:val="a6"/>
        <w:rPr>
          <w:rFonts w:ascii="Times New Roman" w:hAnsi="Times New Roman"/>
        </w:rPr>
      </w:pPr>
      <w:r>
        <w:rPr>
          <w:rFonts w:ascii="Times New Roman" w:hAnsi="Times New Roman"/>
        </w:rPr>
        <w:t>8) рівень звукової потужності, визначений відповідно до додатка 6</w:t>
      </w:r>
      <w:r w:rsidRPr="008030A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до цього Технічного регламенту;</w:t>
      </w:r>
    </w:p>
    <w:p w14:paraId="5582AA52" w14:textId="77777777" w:rsidR="008030A1" w:rsidRDefault="008030A1" w:rsidP="008030A1">
      <w:pPr>
        <w:pStyle w:val="a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9) </w:t>
      </w:r>
      <w:r w:rsidRPr="00187A1B">
        <w:rPr>
          <w:rFonts w:ascii="Times New Roman" w:hAnsi="Times New Roman"/>
        </w:rPr>
        <w:t xml:space="preserve">номінальна </w:t>
      </w:r>
      <w:r w:rsidR="00CC3FAE">
        <w:rPr>
          <w:rFonts w:ascii="Times New Roman" w:hAnsi="Times New Roman"/>
        </w:rPr>
        <w:t>споживана</w:t>
      </w:r>
      <w:r w:rsidR="00CC3FAE" w:rsidRPr="00187A1B">
        <w:rPr>
          <w:rFonts w:ascii="Times New Roman" w:hAnsi="Times New Roman"/>
        </w:rPr>
        <w:t xml:space="preserve"> </w:t>
      </w:r>
      <w:r w:rsidRPr="00187A1B">
        <w:rPr>
          <w:rFonts w:ascii="Times New Roman" w:hAnsi="Times New Roman"/>
        </w:rPr>
        <w:t>потужність</w:t>
      </w:r>
      <w:r>
        <w:rPr>
          <w:rFonts w:ascii="Times New Roman" w:hAnsi="Times New Roman"/>
        </w:rPr>
        <w:t>, визначена відповідно до додатка 6</w:t>
      </w:r>
      <w:r w:rsidRPr="008030A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до цього Технічного регламенту.</w:t>
      </w:r>
    </w:p>
    <w:p w14:paraId="10CCE9C1" w14:textId="77777777" w:rsidR="008030A1" w:rsidRDefault="008030A1" w:rsidP="008030A1">
      <w:pPr>
        <w:pStyle w:val="a6"/>
        <w:rPr>
          <w:rFonts w:ascii="Times New Roman" w:hAnsi="Times New Roman"/>
          <w:szCs w:val="26"/>
        </w:rPr>
      </w:pPr>
      <w:r w:rsidRPr="00855490">
        <w:rPr>
          <w:rFonts w:ascii="Times New Roman" w:hAnsi="Times New Roman"/>
          <w:szCs w:val="26"/>
        </w:rPr>
        <w:t xml:space="preserve">2. Одна мікрофіша може охоплювати кілька моделей </w:t>
      </w:r>
      <w:r>
        <w:rPr>
          <w:rFonts w:ascii="Times New Roman" w:hAnsi="Times New Roman"/>
          <w:szCs w:val="26"/>
        </w:rPr>
        <w:t>пилососів</w:t>
      </w:r>
      <w:r w:rsidRPr="00855490">
        <w:rPr>
          <w:rFonts w:ascii="Times New Roman" w:hAnsi="Times New Roman"/>
          <w:szCs w:val="26"/>
        </w:rPr>
        <w:t xml:space="preserve"> одного постачальника.</w:t>
      </w:r>
    </w:p>
    <w:p w14:paraId="20303C0D" w14:textId="77777777" w:rsidR="002C611E" w:rsidRPr="00855490" w:rsidRDefault="002C611E" w:rsidP="008030A1">
      <w:pPr>
        <w:pStyle w:val="a6"/>
        <w:rPr>
          <w:rFonts w:ascii="Times New Roman" w:hAnsi="Times New Roman"/>
          <w:szCs w:val="26"/>
        </w:rPr>
      </w:pPr>
      <w:r w:rsidRPr="00855490">
        <w:rPr>
          <w:rFonts w:ascii="Times New Roman" w:hAnsi="Times New Roman"/>
          <w:szCs w:val="26"/>
        </w:rPr>
        <w:t>3. Інформація, що міститься у мікрофіші, може бути додатково доповнена у формі копії енергетичної етикетки у кольоровому або чорно-білому вигляді. У такому разі інформація, зазначена у пункті 1  цього додатка, яка не відображена на енергетичній етикетці, повинна бути надана споживачеві.</w:t>
      </w:r>
    </w:p>
    <w:p w14:paraId="757C7544" w14:textId="77777777" w:rsidR="002C611E" w:rsidRPr="00855490" w:rsidRDefault="002C611E" w:rsidP="002C611E">
      <w:pPr>
        <w:pStyle w:val="a6"/>
        <w:jc w:val="center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______________________________</w:t>
      </w:r>
    </w:p>
    <w:p w14:paraId="42ABBAE6" w14:textId="77777777" w:rsidR="001E668B" w:rsidRDefault="001E668B" w:rsidP="00980B93">
      <w:pPr>
        <w:pStyle w:val="a5"/>
      </w:pPr>
    </w:p>
    <w:sectPr w:rsidR="001E668B" w:rsidSect="00336A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OA" w:date="2015-12-08T11:01:00Z" w:initials="O">
    <w:p w14:paraId="310C6465" w14:textId="77777777" w:rsidR="00125AE0" w:rsidRPr="008E79E1" w:rsidRDefault="00125AE0">
      <w:pPr>
        <w:pStyle w:val="a8"/>
        <w:rPr>
          <w:lang w:val="en-GB"/>
        </w:rPr>
      </w:pPr>
      <w:r>
        <w:rPr>
          <w:rStyle w:val="a7"/>
        </w:rPr>
        <w:annotationRef/>
      </w:r>
      <w:r>
        <w:t>Правильно</w:t>
      </w:r>
      <w:r w:rsidRPr="008E79E1">
        <w:rPr>
          <w:lang w:val="en-GB"/>
        </w:rPr>
        <w:t xml:space="preserve"> </w:t>
      </w:r>
      <w:r w:rsidR="008E79E1" w:rsidRPr="008E79E1">
        <w:rPr>
          <w:lang w:val="en-GB"/>
        </w:rPr>
        <w:t xml:space="preserve"> «Dust re-emission class»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10C6465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2C611E"/>
    <w:rsid w:val="000C461C"/>
    <w:rsid w:val="00125AE0"/>
    <w:rsid w:val="00187A1B"/>
    <w:rsid w:val="001E668B"/>
    <w:rsid w:val="002C611E"/>
    <w:rsid w:val="00336AE6"/>
    <w:rsid w:val="004C4EEF"/>
    <w:rsid w:val="004E20D3"/>
    <w:rsid w:val="0054625F"/>
    <w:rsid w:val="006C136B"/>
    <w:rsid w:val="00703561"/>
    <w:rsid w:val="008030A1"/>
    <w:rsid w:val="00854C67"/>
    <w:rsid w:val="008B27E9"/>
    <w:rsid w:val="008E79E1"/>
    <w:rsid w:val="00980B93"/>
    <w:rsid w:val="00AE7661"/>
    <w:rsid w:val="00C1477B"/>
    <w:rsid w:val="00CC3FAE"/>
    <w:rsid w:val="00E30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AC68D"/>
  <w15:docId w15:val="{E5F5C2BF-44D8-4346-A0AD-FC594E65E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6A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Шапка документу"/>
    <w:basedOn w:val="a"/>
    <w:uiPriority w:val="99"/>
    <w:rsid w:val="002C611E"/>
    <w:pPr>
      <w:keepNext/>
      <w:keepLines/>
      <w:spacing w:after="240" w:line="240" w:lineRule="auto"/>
      <w:ind w:left="4536"/>
      <w:jc w:val="center"/>
    </w:pPr>
    <w:rPr>
      <w:rFonts w:ascii="Antiqua" w:eastAsia="Times New Roman" w:hAnsi="Antiqua" w:cs="Antiqua"/>
      <w:sz w:val="26"/>
      <w:szCs w:val="26"/>
      <w:lang w:val="uk-UA" w:eastAsia="uk-UA"/>
    </w:rPr>
  </w:style>
  <w:style w:type="character" w:customStyle="1" w:styleId="a4">
    <w:name w:val="Назва документа Знак Знак"/>
    <w:basedOn w:val="a0"/>
    <w:link w:val="a5"/>
    <w:uiPriority w:val="99"/>
    <w:locked/>
    <w:rsid w:val="002C611E"/>
    <w:rPr>
      <w:rFonts w:ascii="Antiqua" w:hAnsi="Antiqua" w:cs="Antiqua"/>
      <w:b/>
      <w:bCs/>
      <w:sz w:val="26"/>
      <w:szCs w:val="26"/>
      <w:lang w:val="uk-UA"/>
    </w:rPr>
  </w:style>
  <w:style w:type="paragraph" w:customStyle="1" w:styleId="a5">
    <w:name w:val="Назва документа Знак"/>
    <w:basedOn w:val="a"/>
    <w:next w:val="a"/>
    <w:link w:val="a4"/>
    <w:uiPriority w:val="99"/>
    <w:rsid w:val="002C611E"/>
    <w:pPr>
      <w:keepNext/>
      <w:keepLines/>
      <w:spacing w:before="240" w:after="240" w:line="240" w:lineRule="auto"/>
      <w:jc w:val="center"/>
    </w:pPr>
    <w:rPr>
      <w:rFonts w:ascii="Antiqua" w:hAnsi="Antiqua" w:cs="Antiqua"/>
      <w:b/>
      <w:bCs/>
      <w:sz w:val="26"/>
      <w:szCs w:val="26"/>
      <w:lang w:val="uk-UA"/>
    </w:rPr>
  </w:style>
  <w:style w:type="paragraph" w:customStyle="1" w:styleId="a6">
    <w:name w:val="Нормальний текст"/>
    <w:basedOn w:val="a"/>
    <w:uiPriority w:val="99"/>
    <w:rsid w:val="002C611E"/>
    <w:pPr>
      <w:spacing w:before="120" w:after="0" w:line="240" w:lineRule="auto"/>
      <w:ind w:firstLine="567"/>
      <w:jc w:val="both"/>
    </w:pPr>
    <w:rPr>
      <w:rFonts w:ascii="Antiqua" w:eastAsia="Times New Roman" w:hAnsi="Antiqua" w:cs="Times New Roman"/>
      <w:sz w:val="26"/>
      <w:szCs w:val="20"/>
      <w:lang w:val="uk-UA" w:eastAsia="uk-UA"/>
    </w:rPr>
  </w:style>
  <w:style w:type="character" w:styleId="a7">
    <w:name w:val="annotation reference"/>
    <w:basedOn w:val="a0"/>
    <w:uiPriority w:val="99"/>
    <w:semiHidden/>
    <w:unhideWhenUsed/>
    <w:rsid w:val="00125AE0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25AE0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25AE0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5AE0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5AE0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125A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25A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11/relationships/commentsExtended" Target="commentsExtended.xml"/><Relationship Id="rId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15</cp:revision>
  <cp:lastPrinted>2016-02-10T09:20:00Z</cp:lastPrinted>
  <dcterms:created xsi:type="dcterms:W3CDTF">2015-04-08T09:28:00Z</dcterms:created>
  <dcterms:modified xsi:type="dcterms:W3CDTF">2016-02-10T09:20:00Z</dcterms:modified>
</cp:coreProperties>
</file>